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23" w:rsidRPr="00597D23" w:rsidRDefault="00597D23" w:rsidP="00597D23">
      <w:pPr>
        <w:pStyle w:val="a3"/>
        <w:shd w:val="clear" w:color="auto" w:fill="FFFFFF"/>
        <w:spacing w:before="0" w:beforeAutospacing="0" w:after="360" w:afterAutospacing="0" w:line="360" w:lineRule="atLeast"/>
        <w:jc w:val="both"/>
        <w:rPr>
          <w:rFonts w:ascii="微软雅黑" w:eastAsia="微软雅黑" w:hAnsi="微软雅黑" w:hint="eastAsia"/>
          <w:color w:val="000000" w:themeColor="text1"/>
          <w:sz w:val="21"/>
          <w:szCs w:val="21"/>
        </w:rPr>
      </w:pPr>
      <w:bookmarkStart w:id="0" w:name="_GoBack"/>
      <w:r w:rsidRPr="00597D23">
        <w:rPr>
          <w:rFonts w:ascii="微软雅黑" w:eastAsia="微软雅黑" w:hAnsi="微软雅黑" w:hint="eastAsia"/>
          <w:color w:val="000000" w:themeColor="text1"/>
          <w:sz w:val="33"/>
          <w:szCs w:val="33"/>
          <w:shd w:val="clear" w:color="auto" w:fill="FFFFFF"/>
        </w:rPr>
        <w:t>如何识别非法期货活动</w:t>
      </w:r>
    </w:p>
    <w:bookmarkEnd w:id="0"/>
    <w:p w:rsidR="00597D23" w:rsidRDefault="00597D23" w:rsidP="00597D23">
      <w:pPr>
        <w:pStyle w:val="a3"/>
        <w:shd w:val="clear" w:color="auto" w:fill="FFFFFF"/>
        <w:spacing w:before="0" w:beforeAutospacing="0" w:after="360" w:afterAutospacing="0" w:line="360" w:lineRule="atLeast"/>
        <w:jc w:val="both"/>
        <w:rPr>
          <w:rFonts w:ascii="微软雅黑" w:eastAsia="微软雅黑" w:hAnsi="微软雅黑"/>
          <w:color w:val="767676"/>
          <w:sz w:val="21"/>
          <w:szCs w:val="21"/>
        </w:rPr>
      </w:pPr>
      <w:r>
        <w:rPr>
          <w:rFonts w:ascii="微软雅黑" w:eastAsia="微软雅黑" w:hAnsi="微软雅黑" w:hint="eastAsia"/>
          <w:color w:val="767676"/>
          <w:sz w:val="21"/>
          <w:szCs w:val="21"/>
        </w:rPr>
        <w:t>近年来，非法期货活动处于多发状态，特别是以商品现货名义进行非法期货交易活动的违规交易场所屡禁不止，严重侵害了投资者的合法权益。广大投资者在进行期货投资时，要提高警惕，注意辨识非法期货活动，主要可以从以下四个方面进行</w:t>
      </w:r>
      <w:proofErr w:type="gramStart"/>
      <w:r>
        <w:rPr>
          <w:rFonts w:ascii="微软雅黑" w:eastAsia="微软雅黑" w:hAnsi="微软雅黑" w:hint="eastAsia"/>
          <w:color w:val="767676"/>
          <w:sz w:val="21"/>
          <w:szCs w:val="21"/>
        </w:rPr>
        <w:t>考量</w:t>
      </w:r>
      <w:proofErr w:type="gramEnd"/>
      <w:r>
        <w:rPr>
          <w:rFonts w:ascii="微软雅黑" w:eastAsia="微软雅黑" w:hAnsi="微软雅黑" w:hint="eastAsia"/>
          <w:color w:val="767676"/>
          <w:sz w:val="21"/>
          <w:szCs w:val="21"/>
        </w:rPr>
        <w:t>：</w:t>
      </w:r>
    </w:p>
    <w:p w:rsidR="00597D23" w:rsidRDefault="00597D23" w:rsidP="00597D23">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Style w:val="a4"/>
          <w:rFonts w:ascii="微软雅黑" w:eastAsia="微软雅黑" w:hAnsi="微软雅黑" w:hint="eastAsia"/>
          <w:color w:val="767676"/>
          <w:sz w:val="21"/>
          <w:szCs w:val="21"/>
        </w:rPr>
        <w:t>一是辨识主体资格</w:t>
      </w:r>
      <w:r>
        <w:rPr>
          <w:rFonts w:ascii="微软雅黑" w:eastAsia="微软雅黑" w:hAnsi="微软雅黑" w:hint="eastAsia"/>
          <w:color w:val="767676"/>
          <w:sz w:val="21"/>
          <w:szCs w:val="21"/>
        </w:rPr>
        <w:t>。</w:t>
      </w:r>
    </w:p>
    <w:p w:rsidR="00597D23" w:rsidRDefault="00597D23" w:rsidP="00597D23">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按照前述规定，开展期货业务需要经中国证监会核准，取得相应业务资格，否则即为非法机构。投资者可以登录中国证监会网站、中国期货业协会网站查询合法期货经营机构及其从业人员信息，或者向当地证监局核实相关机构和人员信息。</w:t>
      </w:r>
    </w:p>
    <w:p w:rsidR="00597D23" w:rsidRDefault="00597D23" w:rsidP="00597D23">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Style w:val="a4"/>
          <w:rFonts w:ascii="微软雅黑" w:eastAsia="微软雅黑" w:hAnsi="微软雅黑" w:hint="eastAsia"/>
          <w:color w:val="767676"/>
          <w:sz w:val="21"/>
          <w:szCs w:val="21"/>
        </w:rPr>
        <w:t>二是辨识营销方式。</w:t>
      </w:r>
    </w:p>
    <w:p w:rsidR="00597D23" w:rsidRDefault="00597D23" w:rsidP="00597D23">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一些不法分子喜欢以“老师”、“期神”自居，常常发出只要跟着他做，就能赚大钱等只强调收益不关注风险的犀利言辞。投资者需要知晓，包括期货在内的任何金融产品投资都是遵循“高收益必然伴随高风险”的基本原则，没有“天上掉馅饼”的好产品。合法的期货经营机构以适当性制度为指引，讲究“把合适的产品卖给适合的投资者”，是不得进行此类虚假宣传的。投资者遇到这种夸张的宣传手法，请一定注意提高警惕。</w:t>
      </w:r>
    </w:p>
    <w:p w:rsidR="00597D23" w:rsidRDefault="00597D23" w:rsidP="00597D23">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Style w:val="a4"/>
          <w:rFonts w:ascii="微软雅黑" w:eastAsia="微软雅黑" w:hAnsi="微软雅黑" w:hint="eastAsia"/>
          <w:color w:val="767676"/>
          <w:sz w:val="21"/>
          <w:szCs w:val="21"/>
        </w:rPr>
        <w:t>三是辨识互联网网址。</w:t>
      </w:r>
    </w:p>
    <w:p w:rsidR="00597D23" w:rsidRDefault="00597D23" w:rsidP="00597D23">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非法期货网站的网址往往采用无特殊意义的字母和数字构成，或采用仿冒方法，在合法期货经营机构网址的基础上变换或增加字母和数字。投资者可通过中国证监会网站或中国期货业</w:t>
      </w:r>
      <w:r>
        <w:rPr>
          <w:rFonts w:ascii="微软雅黑" w:eastAsia="微软雅黑" w:hAnsi="微软雅黑" w:hint="eastAsia"/>
          <w:color w:val="767676"/>
          <w:sz w:val="21"/>
          <w:szCs w:val="21"/>
        </w:rPr>
        <w:lastRenderedPageBreak/>
        <w:t>协会网站查询合法期货经营机构的网址，识别非法期货网站。投资者请勿登录非法期货网站，以免误入陷阱，上当受骗。</w:t>
      </w:r>
    </w:p>
    <w:p w:rsidR="00597D23" w:rsidRDefault="00597D23" w:rsidP="00597D23">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Style w:val="a4"/>
          <w:rFonts w:ascii="微软雅黑" w:eastAsia="微软雅黑" w:hAnsi="微软雅黑" w:hint="eastAsia"/>
          <w:color w:val="767676"/>
          <w:sz w:val="21"/>
          <w:szCs w:val="21"/>
        </w:rPr>
        <w:t>四是辨识收款账号。</w:t>
      </w:r>
    </w:p>
    <w:p w:rsidR="00597D23" w:rsidRDefault="00597D23" w:rsidP="00597D23">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合法期货经营机构只能以公司名义对外开展业务，也只能以公司的名义开立银行账户，而非法机构往往以个人的名义开立收款账户。如果有人要求投资者把钱打入以个人名义开立的账户，投资者即可果断拒绝。</w:t>
      </w:r>
    </w:p>
    <w:p w:rsidR="00597D23" w:rsidRDefault="00597D23" w:rsidP="00597D23">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（来源：中国证监会）</w:t>
      </w:r>
    </w:p>
    <w:p w:rsidR="008B39A1" w:rsidRDefault="008B39A1"/>
    <w:sectPr w:rsidR="008B39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E3"/>
    <w:rsid w:val="00597D23"/>
    <w:rsid w:val="008B39A1"/>
    <w:rsid w:val="00CD3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D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97D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D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97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1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594</Characters>
  <Application>Microsoft Office Word</Application>
  <DocSecurity>0</DocSecurity>
  <Lines>4</Lines>
  <Paragraphs>1</Paragraphs>
  <ScaleCrop>false</ScaleCrop>
  <Company>Microsoft</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K004880</dc:creator>
  <cp:keywords/>
  <dc:description/>
  <cp:lastModifiedBy>K004880</cp:lastModifiedBy>
  <cp:revision>3</cp:revision>
  <dcterms:created xsi:type="dcterms:W3CDTF">2021-05-18T07:09:00Z</dcterms:created>
  <dcterms:modified xsi:type="dcterms:W3CDTF">2021-05-18T07:10:00Z</dcterms:modified>
</cp:coreProperties>
</file>